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keepNext w:val="1"/>
        <w:keepLines w:val="1"/>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Emergency P</w:t>
      </w:r>
      <w:r w:rsidDel="00000000" w:rsidR="00000000" w:rsidRPr="00000000">
        <w:rPr>
          <w:rFonts w:ascii="Times New Roman" w:cs="Times New Roman" w:eastAsia="Times New Roman" w:hAnsi="Times New Roman"/>
          <w:b w:val="1"/>
          <w:sz w:val="32"/>
          <w:szCs w:val="32"/>
          <w:rtl w:val="0"/>
        </w:rPr>
        <w:t xml:space="preserve">lan</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15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Statement</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safety of our students is our main priority.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acknowledges that there may be situations out of their control that require planning for. This plan outlines what </w:t>
      </w:r>
      <w:r w:rsidDel="00000000" w:rsidR="00000000" w:rsidRPr="00000000">
        <w:rPr>
          <w:rFonts w:ascii="Times New Roman" w:cs="Times New Roman" w:eastAsia="Times New Roman" w:hAnsi="Times New Roman"/>
          <w:b w:val="1"/>
          <w:sz w:val="24"/>
          <w:szCs w:val="24"/>
          <w:rtl w:val="0"/>
        </w:rPr>
        <w:t xml:space="preserve">Jenkins Enterprises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do in the event of an emergency.</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(Please note that the scenarios are not exhaustive.)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15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Emergency Procedure</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Dealing with an emergency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important that staff who receive an emergency call keep calm and remember to note all of the information provided. You may need to provide reassurance and support to the informant as they may be upset, suffering from shock or may panic.</w:t>
      </w:r>
    </w:p>
    <w:p w:rsidR="00000000" w:rsidDel="00000000" w:rsidP="00000000" w:rsidRDefault="00000000" w:rsidRPr="00000000" w14:paraId="000000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Ascertain out what has happened, gathering as much information as you can;</w:t>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Discuss with the informant what action needs to be taken and by whom;</w:t>
      </w:r>
    </w:p>
    <w:p w:rsidR="00000000" w:rsidDel="00000000" w:rsidP="00000000" w:rsidRDefault="00000000" w:rsidRPr="00000000" w14:paraId="0000001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a written record of the information and of any actions taken. (A template for recording incidents is included at end of this plan);</w:t>
      </w:r>
    </w:p>
    <w:p w:rsidR="00000000" w:rsidDel="00000000" w:rsidP="00000000" w:rsidRDefault="00000000" w:rsidRPr="00000000" w14:paraId="0000001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Director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Maryna Jenkins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be informed immediately about the situation. </w:t>
      </w:r>
    </w:p>
    <w:p w:rsidR="00000000" w:rsidDel="00000000" w:rsidP="00000000" w:rsidRDefault="00000000" w:rsidRPr="00000000" w14:paraId="00000014">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Specific scenarios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note that specific scenarios may require a bespoke plan that will include further details on how we will handle the issue. Where this is the case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circulate the plan with all relevant parties.</w:t>
      </w:r>
    </w:p>
    <w:p w:rsidR="00000000" w:rsidDel="00000000" w:rsidP="00000000" w:rsidRDefault="00000000" w:rsidRPr="00000000" w14:paraId="00000016">
      <w:pPr>
        <w:pStyle w:val="Subtitle"/>
        <w:rPr>
          <w:i w:val="0"/>
        </w:rPr>
      </w:pPr>
      <w:r w:rsidDel="00000000" w:rsidR="00000000" w:rsidRPr="00000000">
        <w:rPr>
          <w:rtl w:val="0"/>
        </w:rPr>
      </w:r>
    </w:p>
    <w:p w:rsidR="00000000" w:rsidDel="00000000" w:rsidP="00000000" w:rsidRDefault="00000000" w:rsidRPr="00000000" w14:paraId="00000017">
      <w:pPr>
        <w:pStyle w:val="Subtitle"/>
        <w:numPr>
          <w:ilvl w:val="0"/>
          <w:numId w:val="1"/>
        </w:numPr>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Cancelled Flights</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When a student’s flight is cancelled in the UK </w:t>
      </w:r>
      <w:r w:rsidDel="00000000" w:rsidR="00000000" w:rsidRPr="00000000">
        <w:rPr>
          <w:rFonts w:ascii="Times New Roman" w:cs="Times New Roman" w:eastAsia="Times New Roman" w:hAnsi="Times New Roman"/>
          <w:b w:val="1"/>
          <w:sz w:val="24"/>
          <w:szCs w:val="24"/>
          <w:highlight w:val="yellow"/>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will arrange for suitable care. If necessary students will be accommodated in an emergency homestay until it is possible to travel.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Where a student is waiting at an airport without a member of our staff, students are required to contact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soon as they are aware that their flights have been cancelled. Parents will be kept fully informed of the situation.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liaise with the airline and parents to re-arrange the flights.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pStyle w:val="Subtitle"/>
        <w:numPr>
          <w:ilvl w:val="0"/>
          <w:numId w:val="2"/>
        </w:numPr>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Pandemic/ Contagious Outbreak</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Pandemics can cause major disruption to travel and schooling. It is important in such events to take advice from the government, Public Health England and the World Health Organisation. AEGIS provides guidance for members to follow. This is regularly updated as a situation develops. Usually, in a pandemic it is important to restrict movement so as not to spread the disease further. That means boarding school students would usually remain at school. In the event of a pandemic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not be able to offer homestay accommodation as this could place students, homestay families and the wider community at risk.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work with parents and schools to find suitable quarantine accommodation for students where required.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work with schools to meet students’ needs during a pandemic. This could be by helping to support students to learn remotely as directed by the school.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work with parents to find flights to home countries where required.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pStyle w:val="Subtitle"/>
        <w:numPr>
          <w:ilvl w:val="0"/>
          <w:numId w:val="3"/>
        </w:numPr>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i w:val="0"/>
          <w:color w:val="000000"/>
          <w:sz w:val="24"/>
          <w:szCs w:val="24"/>
          <w:rtl w:val="0"/>
        </w:rPr>
        <w:t xml:space="preserve">Serious injury or death of a student</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Serious injury or death of a student is distressing for all concerned.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w:t>
      </w:r>
    </w:p>
    <w:p w:rsidR="00000000" w:rsidDel="00000000" w:rsidP="00000000" w:rsidRDefault="00000000" w:rsidRPr="00000000" w14:paraId="0000001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Liaise with medical staff and police</w:t>
      </w:r>
    </w:p>
    <w:p w:rsidR="00000000" w:rsidDel="00000000" w:rsidP="00000000" w:rsidRDefault="00000000" w:rsidRPr="00000000" w14:paraId="0000002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parents informed</w:t>
      </w:r>
    </w:p>
    <w:p w:rsidR="00000000" w:rsidDel="00000000" w:rsidP="00000000" w:rsidRDefault="00000000" w:rsidRPr="00000000" w14:paraId="0000002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Help parents arrange flights</w:t>
      </w:r>
    </w:p>
    <w:p w:rsidR="00000000" w:rsidDel="00000000" w:rsidP="00000000" w:rsidRDefault="00000000" w:rsidRPr="00000000" w14:paraId="0000002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Handle any media enquiries</w:t>
      </w:r>
    </w:p>
    <w:p w:rsidR="00000000" w:rsidDel="00000000" w:rsidP="00000000" w:rsidRDefault="00000000" w:rsidRPr="00000000" w14:paraId="0000002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Liaise with schools and any other external agencies (such as LSP) where required</w:t>
      </w:r>
    </w:p>
    <w:p w:rsidR="00000000" w:rsidDel="00000000" w:rsidP="00000000" w:rsidRDefault="00000000" w:rsidRPr="00000000" w14:paraId="0000002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required, assist parents with rehabilitation and flights home</w:t>
      </w:r>
    </w:p>
    <w:p w:rsidR="00000000" w:rsidDel="00000000" w:rsidP="00000000" w:rsidRDefault="00000000" w:rsidRPr="00000000" w14:paraId="0000002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required, assist parents with funeral arrangements </w:t>
      </w:r>
    </w:p>
    <w:p w:rsidR="00000000" w:rsidDel="00000000" w:rsidP="00000000" w:rsidRDefault="00000000" w:rsidRPr="00000000" w14:paraId="00000026">
      <w:pPr>
        <w:pStyle w:val="Subtitle"/>
        <w:numPr>
          <w:ilvl w:val="0"/>
          <w:numId w:val="7"/>
        </w:numPr>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i w:val="0"/>
          <w:color w:val="000000"/>
          <w:sz w:val="24"/>
          <w:szCs w:val="24"/>
          <w:u w:val="single"/>
          <w:rtl w:val="0"/>
        </w:rPr>
        <w:t xml:space="preserve">Terrorist incident</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Schools will have their own lockdown procedures to ensure the safety of students in the event of a terror attack. In the event of a terror attack taking place in the UK when a student is staying at a homestay,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follow the guidance provided by the UK government and the police. Unless instructed otherwise, students will be asked to remain in the homestay and not to go out unaccompanied by their homestay. In such a situation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assess the risks and act accordingly.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pStyle w:val="Subtitle"/>
        <w:ind w:left="708.6614173228347" w:firstLine="0"/>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i w:val="0"/>
          <w:color w:val="000000"/>
          <w:sz w:val="24"/>
          <w:szCs w:val="24"/>
          <w:u w:val="single"/>
          <w:rtl w:val="0"/>
        </w:rPr>
        <w:t xml:space="preserve">Fire</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of a fire at a homestay, after dealing with the emergency by calling the fire brigade, the homestay is expected to inform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will be moved to a different homestay until the accommodation is refurbished.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visit the homestay to check the suitability of accommodation before any students return.</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pStyle w:val="Subtitle"/>
        <w:numPr>
          <w:ilvl w:val="0"/>
          <w:numId w:val="6"/>
        </w:numPr>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i w:val="0"/>
          <w:color w:val="000000"/>
          <w:sz w:val="24"/>
          <w:szCs w:val="24"/>
          <w:u w:val="single"/>
          <w:rtl w:val="0"/>
        </w:rPr>
        <w:t xml:space="preserve">School closures</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many reasons why a school may close. These could be temporary, such as due to weather or a staff shortage or permanent, for example due to bankruptcy. Unless closure is due to a contagious disease (see pandemic guidance above),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provide accommodation for students with their homestays*.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8.6614173228347" w:right="0" w:firstLine="0"/>
        <w:rPr>
          <w:rFonts w:ascii="Times New Roman" w:cs="Times New Roman" w:eastAsia="Times New Roman" w:hAnsi="Times New Roman"/>
          <w:b w:val="1"/>
          <w:sz w:val="24"/>
          <w:szCs w:val="24"/>
          <w:u w:val="single"/>
          <w:shd w:fill="fce5cd" w:val="clear"/>
        </w:rPr>
      </w:pPr>
      <w:r w:rsidDel="00000000" w:rsidR="00000000" w:rsidRPr="00000000">
        <w:rPr>
          <w:rFonts w:ascii="Times New Roman" w:cs="Times New Roman" w:eastAsia="Times New Roman" w:hAnsi="Times New Roman"/>
          <w:b w:val="1"/>
          <w:sz w:val="24"/>
          <w:szCs w:val="24"/>
          <w:u w:val="single"/>
          <w:shd w:fill="fce5cd" w:val="clear"/>
          <w:rtl w:val="0"/>
        </w:rPr>
        <w:t xml:space="preserve">Requests from schools to remove  a student</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shd w:fill="fce5cd" w:val="clear"/>
        </w:rPr>
      </w:pPr>
      <w:r w:rsidDel="00000000" w:rsidR="00000000" w:rsidRPr="00000000">
        <w:rPr>
          <w:rFonts w:ascii="Times New Roman" w:cs="Times New Roman" w:eastAsia="Times New Roman" w:hAnsi="Times New Roman"/>
          <w:b w:val="1"/>
          <w:sz w:val="24"/>
          <w:szCs w:val="24"/>
          <w:shd w:fill="fce5cd" w:val="clear"/>
          <w:rtl w:val="0"/>
        </w:rPr>
        <w:t xml:space="preserve">Jenkins Enterprises</w:t>
      </w:r>
      <w:r w:rsidDel="00000000" w:rsidR="00000000" w:rsidRPr="00000000">
        <w:rPr>
          <w:rFonts w:ascii="Times New Roman" w:cs="Times New Roman" w:eastAsia="Times New Roman" w:hAnsi="Times New Roman"/>
          <w:sz w:val="24"/>
          <w:szCs w:val="24"/>
          <w:shd w:fill="fce5cd" w:val="clear"/>
          <w:rtl w:val="0"/>
        </w:rPr>
        <w:t xml:space="preserve"> </w:t>
      </w:r>
      <w:r w:rsidDel="00000000" w:rsidR="00000000" w:rsidRPr="00000000">
        <w:rPr>
          <w:rFonts w:ascii="Times New Roman" w:cs="Times New Roman" w:eastAsia="Times New Roman" w:hAnsi="Times New Roman"/>
          <w:sz w:val="24"/>
          <w:szCs w:val="24"/>
          <w:shd w:fill="fce5cd" w:val="clear"/>
          <w:rtl w:val="0"/>
        </w:rPr>
        <w:t xml:space="preserve">has a plan in place for any student who cannot be accommodated by the school</w:t>
        <w:tab/>
        <w:t xml:space="preserve">due to illness,</w:t>
        <w:tab/>
        <w:t xml:space="preserve"> disciplinary action or</w:t>
        <w:tab/>
        <w:t xml:space="preserve">any other cause. </w:t>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shd w:fill="fce5cd" w:val="clear"/>
        </w:rPr>
      </w:pPr>
      <w:r w:rsidDel="00000000" w:rsidR="00000000" w:rsidRPr="00000000">
        <w:rPr>
          <w:rFonts w:ascii="Times New Roman" w:cs="Times New Roman" w:eastAsia="Times New Roman" w:hAnsi="Times New Roman"/>
          <w:sz w:val="24"/>
          <w:szCs w:val="24"/>
          <w:shd w:fill="fce5cd" w:val="clear"/>
          <w:rtl w:val="0"/>
        </w:rPr>
        <w:t xml:space="preserve">Jenkins Enterprises  will liaise with</w:t>
        <w:tab/>
        <w:t xml:space="preserve">the student parents and school.</w:t>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shd w:fill="fce5cd" w:val="clear"/>
        </w:rPr>
      </w:pPr>
      <w:r w:rsidDel="00000000" w:rsidR="00000000" w:rsidRPr="00000000">
        <w:rPr>
          <w:rFonts w:ascii="Times New Roman" w:cs="Times New Roman" w:eastAsia="Times New Roman" w:hAnsi="Times New Roman"/>
          <w:sz w:val="24"/>
          <w:szCs w:val="24"/>
          <w:shd w:fill="fce5cd" w:val="clear"/>
          <w:rtl w:val="0"/>
        </w:rPr>
        <w:t xml:space="preserve">Emergency homestay accommodation* will be arranged for the student,</w:t>
        <w:tab/>
        <w:t xml:space="preserve">unless</w:t>
        <w:tab/>
        <w:t xml:space="preserve">the student</w:t>
        <w:tab/>
        <w:t xml:space="preserve"> has a contagious disease (see</w:t>
        <w:tab/>
        <w:t xml:space="preserve">pandemic guidance above). </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sz w:val="24"/>
          <w:szCs w:val="24"/>
          <w:shd w:fill="fce5cd" w:val="clear"/>
        </w:rPr>
      </w:pPr>
      <w:r w:rsidDel="00000000" w:rsidR="00000000" w:rsidRPr="00000000">
        <w:rPr>
          <w:rFonts w:ascii="Times New Roman" w:cs="Times New Roman" w:eastAsia="Times New Roman" w:hAnsi="Times New Roman"/>
          <w:sz w:val="24"/>
          <w:szCs w:val="24"/>
          <w:shd w:fill="fce5cd" w:val="clear"/>
          <w:rtl w:val="0"/>
        </w:rPr>
        <w:t xml:space="preserve">Jenkins Enterprises </w:t>
        <w:tab/>
        <w:t xml:space="preserve">will liaise with the school to arrange</w:t>
        <w:tab/>
        <w:t xml:space="preserve">the safe return</w:t>
        <w:tab/>
        <w:t xml:space="preserve">of the student</w:t>
        <w:tab/>
        <w:t xml:space="preserve">as soon a s</w:t>
        <w:tab/>
        <w:t xml:space="preserve">possible.</w:t>
      </w:r>
    </w:p>
    <w:p w:rsidR="00000000" w:rsidDel="00000000" w:rsidP="00000000" w:rsidRDefault="00000000" w:rsidRPr="00000000" w14:paraId="00000036">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Emergency Homestay Accommodation*</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note that emergency homestay placements may not necessarily be with the students’ usual homestay, but will be with one of our vetted homestays who provide high levels of care. These homestays may be a greater distance from the school. Wherever possible we will place students with their usual homestay.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Jenkins Enterprises</w:t>
      </w:r>
      <w:r w:rsidDel="00000000" w:rsidR="00000000" w:rsidRPr="00000000">
        <w:rPr>
          <w:rFonts w:ascii="Times New Roman" w:cs="Times New Roman" w:eastAsia="Times New Roman" w:hAnsi="Times New Roman"/>
          <w:sz w:val="24"/>
          <w:szCs w:val="24"/>
          <w:highlight w:val="yellow"/>
          <w:rtl w:val="0"/>
        </w:rPr>
        <w:t xml:space="preserve"> with partners Host International will provide emergency accommodation. </w:t>
      </w:r>
    </w:p>
    <w:p w:rsidR="00000000" w:rsidDel="00000000" w:rsidP="00000000" w:rsidRDefault="00000000" w:rsidRPr="00000000" w14:paraId="00000039">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Emergency Contact Details- Guardian Organisation staff</w:t>
      </w:r>
    </w:p>
    <w:tbl>
      <w:tblPr>
        <w:tblStyle w:val="Table1"/>
        <w:tblW w:w="9659.0" w:type="dxa"/>
        <w:jc w:val="left"/>
        <w:tblInd w:w="0.9999999999999858" w:type="dxa"/>
        <w:tblLayout w:type="fixed"/>
        <w:tblLook w:val="0000"/>
      </w:tblPr>
      <w:tblGrid>
        <w:gridCol w:w="2460"/>
        <w:gridCol w:w="7199"/>
        <w:tblGridChange w:id="0">
          <w:tblGrid>
            <w:gridCol w:w="2460"/>
            <w:gridCol w:w="7199"/>
          </w:tblGrid>
        </w:tblGridChange>
      </w:tblGrid>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c6d9f1" w:val="cle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Organisation</w:t>
            </w:r>
          </w:p>
        </w:tc>
        <w:tc>
          <w:tcPr>
            <w:tcBorders>
              <w:top w:color="000000" w:space="0" w:sz="4" w:val="single"/>
              <w:left w:color="000000" w:space="0" w:sz="4" w:val="single"/>
              <w:bottom w:color="000000" w:space="0" w:sz="4" w:val="single"/>
              <w:right w:color="000000" w:space="0" w:sz="4" w:val="single"/>
            </w:tcBorders>
            <w:shd w:fill="c6d9f1" w:val="cle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details</w:t>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Maryna Jenkins</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+44 (0) </w:t>
            </w:r>
            <w:r w:rsidDel="00000000" w:rsidR="00000000" w:rsidRPr="00000000">
              <w:rPr>
                <w:rFonts w:ascii="Times New Roman" w:cs="Times New Roman" w:eastAsia="Times New Roman" w:hAnsi="Times New Roman"/>
                <w:b w:val="1"/>
                <w:sz w:val="24"/>
                <w:szCs w:val="24"/>
                <w:rtl w:val="0"/>
              </w:rPr>
              <w:t xml:space="preserve">754 25 36 256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sz w:val="24"/>
                <w:szCs w:val="24"/>
                <w:rtl w:val="0"/>
              </w:rPr>
              <w:t xml:space="preserve">infoukschools@gmail.com</w:t>
            </w:r>
            <w:r w:rsidDel="00000000" w:rsidR="00000000" w:rsidRPr="00000000">
              <w:rPr>
                <w:rtl w:val="0"/>
              </w:rPr>
            </w:r>
          </w:p>
        </w:tc>
      </w:tr>
    </w:tb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Contact Details- other organisations</w:t>
      </w:r>
    </w:p>
    <w:tbl>
      <w:tblPr>
        <w:tblStyle w:val="Table2"/>
        <w:tblW w:w="9638.0" w:type="dxa"/>
        <w:jc w:val="left"/>
        <w:tblInd w:w="0.9999999999999858" w:type="dxa"/>
        <w:tblLayout w:type="fixed"/>
        <w:tblLook w:val="0000"/>
      </w:tblPr>
      <w:tblGrid>
        <w:gridCol w:w="3827"/>
        <w:gridCol w:w="5811"/>
        <w:tblGridChange w:id="0">
          <w:tblGrid>
            <w:gridCol w:w="3827"/>
            <w:gridCol w:w="5811"/>
          </w:tblGrid>
        </w:tblGridChange>
      </w:tblGrid>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c6d9f1" w:val="cle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Organisation</w:t>
            </w:r>
          </w:p>
        </w:tc>
        <w:tc>
          <w:tcPr>
            <w:tcBorders>
              <w:top w:color="000000" w:space="0" w:sz="4" w:val="single"/>
              <w:left w:color="000000" w:space="0" w:sz="4" w:val="single"/>
              <w:bottom w:color="000000" w:space="0" w:sz="4" w:val="single"/>
              <w:right w:color="000000" w:space="0" w:sz="4" w:val="single"/>
            </w:tcBorders>
            <w:shd w:fill="c6d9f1" w:val="cle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details</w:t>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999 (24 hour)</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101 (24 hour, non-emergency number)</w:t>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Fire &amp; Rescue service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999 (24 hour)</w:t>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Ambulance service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999 (24 hour)</w:t>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National Health Service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111 (24 hour)</w:t>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AEGIS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01453 821 293</w:t>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Foreign &amp; Commonwealth Office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0207 008 1500 (24 hour, consular assistance)</w:t>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Environment Agency</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0345 988 1188 (24 hour Floodline)</w:t>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Met Office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0370 900 0100 (24 hour, weather desk)</w:t>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and Safety Executive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Incident Contact Centre: 0345 300 9923  (Monday to Friday 8.30am until 5pm)</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 of hours duty officer (24 hour): 0151 922 9235</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www.hse.gov.uk</w:t>
              </w:r>
            </w:hyperlink>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 Health England</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www.gov.uk/government/organisations/public-health-england</w:t>
              </w:r>
            </w:hyperlink>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 Switchboard: 020 7654 8000</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w:t>
            </w:r>
            <w:hyperlink r:id="rId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enquiries@phe.gov.uk</w:t>
              </w:r>
            </w:hyperlink>
            <w:r w:rsidDel="00000000" w:rsidR="00000000" w:rsidRPr="00000000">
              <w:rPr>
                <w:rtl w:val="0"/>
              </w:rPr>
            </w:r>
          </w:p>
        </w:tc>
      </w:tr>
      <w:tr>
        <w:trPr>
          <w:cantSplit w:val="0"/>
          <w:trHeight w:val="589"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World Health Organisation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hyperlink r:id="rId10">
              <w:r w:rsidDel="00000000" w:rsidR="00000000" w:rsidRPr="00000000">
                <w:rPr>
                  <w:rFonts w:ascii="Arial" w:cs="Arial" w:eastAsia="Arial" w:hAnsi="Arial"/>
                  <w:b w:val="0"/>
                  <w:i w:val="0"/>
                  <w:smallCaps w:val="0"/>
                  <w:strike w:val="0"/>
                  <w:color w:val="0000ff"/>
                  <w:sz w:val="22"/>
                  <w:szCs w:val="22"/>
                  <w:highlight w:val="white"/>
                  <w:u w:val="single"/>
                  <w:vertAlign w:val="baseline"/>
                  <w:rtl w:val="0"/>
                </w:rPr>
                <w:t xml:space="preserve">https://www.who.int/</w:t>
              </w:r>
            </w:hyperlink>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Insurance company</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highlight w:val="white"/>
                <w:rtl w:val="0"/>
              </w:rPr>
              <w:t xml:space="preserve">0190527775    </w:t>
            </w:r>
            <w:r w:rsidDel="00000000" w:rsidR="00000000" w:rsidRPr="00000000">
              <w:rPr>
                <w:rFonts w:ascii="Roboto" w:cs="Roboto" w:eastAsia="Roboto" w:hAnsi="Roboto"/>
                <w:color w:val="222222"/>
                <w:sz w:val="21"/>
                <w:szCs w:val="21"/>
                <w:highlight w:val="white"/>
                <w:rtl w:val="0"/>
              </w:rPr>
              <w:t xml:space="preserve">info@sjlins.co.uk</w:t>
            </w: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Local Safeguarding Partnership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color w:val="222222"/>
                <w:sz w:val="21"/>
                <w:szCs w:val="21"/>
                <w:highlight w:val="white"/>
                <w:rtl w:val="0"/>
              </w:rPr>
              <w:t xml:space="preserve">0300 470 9100  ascmash@surreycc.gov.uk</w:t>
            </w:r>
            <w:r w:rsidDel="00000000" w:rsidR="00000000" w:rsidRPr="00000000">
              <w:rPr>
                <w:rtl w:val="0"/>
              </w:rPr>
            </w:r>
          </w:p>
        </w:tc>
      </w:tr>
    </w:tbl>
    <w:p w:rsidR="00000000" w:rsidDel="00000000" w:rsidP="00000000" w:rsidRDefault="00000000" w:rsidRPr="00000000" w14:paraId="00000063">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Incident record form</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should complete this form when receiving information about an emergency incident.  Please ensure that you obtain and record as much information as possible.</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387.0" w:type="dxa"/>
        <w:jc w:val="left"/>
        <w:tblInd w:w="19.0" w:type="dxa"/>
        <w:tblLayout w:type="fixed"/>
        <w:tblLook w:val="0000"/>
      </w:tblPr>
      <w:tblGrid>
        <w:gridCol w:w="4488"/>
        <w:gridCol w:w="593"/>
        <w:gridCol w:w="909"/>
        <w:gridCol w:w="3634"/>
        <w:gridCol w:w="763"/>
        <w:tblGridChange w:id="0">
          <w:tblGrid>
            <w:gridCol w:w="4488"/>
            <w:gridCol w:w="593"/>
            <w:gridCol w:w="909"/>
            <w:gridCol w:w="3634"/>
            <w:gridCol w:w="763"/>
          </w:tblGrid>
        </w:tblGridChange>
      </w:tblGrid>
      <w:tr>
        <w:trPr>
          <w:cantSplit w:val="0"/>
          <w:trHeight w:val="431"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informant: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and time of call:</w:t>
            </w:r>
          </w:p>
        </w:tc>
      </w:tr>
      <w:tr>
        <w:trPr>
          <w:cantSplit w:val="0"/>
          <w:trHeight w:val="809"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details of informant:</w:t>
            </w:r>
          </w:p>
        </w:tc>
      </w:tr>
      <w:tr>
        <w:trPr>
          <w:cantSplit w:val="0"/>
          <w:trHeight w:val="44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and time of incident:</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301"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Nature of Incident:</w:t>
            </w:r>
          </w:p>
        </w:tc>
      </w:tr>
      <w:tr>
        <w:trPr>
          <w:cantSplit w:val="0"/>
          <w:trHeight w:val="685"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Location of incident:</w:t>
            </w:r>
          </w:p>
        </w:tc>
      </w:tr>
      <w:tr>
        <w:trPr>
          <w:cantSplit w:val="0"/>
          <w:trHeight w:val="685"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Who is involved? </w:t>
            </w:r>
          </w:p>
        </w:tc>
      </w:tr>
      <w:tr>
        <w:trPr>
          <w:cantSplit w:val="0"/>
          <w:trHeight w:val="685"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Ascertain whether anyone has injuries and if so where have they been taken to?</w:t>
            </w:r>
          </w:p>
        </w:tc>
      </w:tr>
      <w:tr>
        <w:trPr>
          <w:cantSplit w:val="0"/>
          <w:trHeight w:val="685"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Have the emergency services been informed? If so, what instructions have they given?</w:t>
            </w:r>
          </w:p>
        </w:tc>
      </w:tr>
      <w:tr>
        <w:trPr>
          <w:cantSplit w:val="0"/>
          <w:trHeight w:val="485"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Who has been informed:</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(Tick which apply)</w:t>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Owner/Director of Guardianship Organisation</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Parents</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Ambulance services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Homestays</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Fire services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Agents</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Local Safeguarding Partnership/ LADO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School</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Health and Safety Executive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Students</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AEGIS</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(Please add)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4"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Action to be taken:</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sectPr>
          <w:footerReference r:id="rId11" w:type="default"/>
          <w:pgSz w:h="16838" w:w="11906" w:orient="portrait"/>
          <w:pgMar w:bottom="777" w:top="566" w:left="1417" w:right="1417" w:header="0" w:footer="720"/>
          <w:pgNumType w:start="1"/>
        </w:sectPr>
      </w:pPr>
      <w:r w:rsidDel="00000000" w:rsidR="00000000" w:rsidRPr="00000000">
        <w:rPr>
          <w:rtl w:val="0"/>
        </w:rPr>
      </w:r>
    </w:p>
    <w:p w:rsidR="00000000" w:rsidDel="00000000" w:rsidP="00000000" w:rsidRDefault="00000000" w:rsidRPr="00000000" w14:paraId="000000C9">
      <w:pPr>
        <w:keepNext w:val="1"/>
        <w:keepLines w:val="1"/>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Cambria" w:cs="Cambria" w:eastAsia="Cambria" w:hAnsi="Cambria"/>
          <w:b w:val="0"/>
          <w:i w:val="0"/>
          <w:smallCaps w:val="0"/>
          <w:strike w:val="0"/>
          <w:color w:val="000000"/>
          <w:sz w:val="32"/>
          <w:szCs w:val="32"/>
          <w:u w:val="none"/>
          <w:shd w:fill="auto" w:val="clear"/>
          <w:vertAlign w:val="baseline"/>
        </w:rPr>
        <w:sectPr>
          <w:type w:val="continuous"/>
          <w:pgSz w:h="16838" w:w="11906" w:orient="portrait"/>
          <w:pgMar w:bottom="777" w:top="566" w:left="1417" w:right="1417" w:header="0" w:footer="720"/>
        </w:sect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6838" w:w="11906" w:orient="portrait"/>
          <w:pgMar w:bottom="777" w:top="566" w:left="1417" w:right="1417" w:header="0" w:footer="720"/>
        </w:sect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026.0" w:type="dxa"/>
        <w:jc w:val="left"/>
        <w:tblLayout w:type="fixed"/>
        <w:tblLook w:val="0000"/>
      </w:tblPr>
      <w:tblGrid>
        <w:gridCol w:w="9026"/>
        <w:tblGridChange w:id="0">
          <w:tblGrid>
            <w:gridCol w:w="90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keepNext w:val="1"/>
              <w:keepLines w:val="1"/>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are committed to reviewing our policy and good practice annually.</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was last reviewed on: </w:t>
            </w:r>
            <w:r w:rsidDel="00000000" w:rsidR="00000000" w:rsidRPr="00000000">
              <w:rPr>
                <w:rFonts w:ascii="Times New Roman" w:cs="Times New Roman" w:eastAsia="Times New Roman" w:hAnsi="Times New Roman"/>
                <w:sz w:val="24"/>
                <w:szCs w:val="24"/>
                <w:rtl w:val="0"/>
              </w:rPr>
              <w:t xml:space="preserve">10.01.2023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576263" cy="470517"/>
                  <wp:effectExtent b="0" l="0" r="0" t="0"/>
                  <wp:docPr id="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76263" cy="470517"/>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left" w:leader="none" w:pos="555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DSL Maryna Jenkins</w:t>
            </w:r>
            <w:r w:rsidDel="00000000" w:rsidR="00000000" w:rsidRPr="00000000">
              <w:rPr>
                <w:rFonts w:ascii="Calibri" w:cs="Calibri" w:eastAsia="Calibri" w:hAnsi="Calibri"/>
                <w:b w:val="0"/>
                <w:i w:val="1"/>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sz w:val="24"/>
                <w:szCs w:val="24"/>
                <w:rtl w:val="0"/>
              </w:rPr>
              <w:t xml:space="preserve">10.02.2023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sectPr>
      <w:footerReference r:id="rId13" w:type="default"/>
      <w:type w:val="nextPage"/>
      <w:pgSz w:h="16838" w:w="11906" w:orient="portrait"/>
      <w:pgMar w:bottom="1440" w:top="708" w:left="1440" w:right="1440" w:header="0"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w:t>
    </w:r>
  </w:p>
  <w:p w:rsidR="00000000" w:rsidDel="00000000" w:rsidP="00000000" w:rsidRDefault="00000000" w:rsidRPr="00000000" w14:paraId="000000D7">
    <w:pPr>
      <w:shd w:fill="ffffff" w:val="clear"/>
      <w:spacing w:after="150" w:lineRule="auto"/>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9 Darwell House, Essex Road, Basingstoke, RG21 7BN,  UK</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2">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3">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7">
    <w:lvl w:ilvl="0">
      <w:start w:val="1"/>
      <w:numFmt w:val="bullet"/>
      <w:lvlText w:val=""/>
      <w:lvlJc w:val="left"/>
      <w:pPr>
        <w:ind w:left="72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name w:val="Normal"/>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ru"/>
    </w:rPr>
  </w:style>
  <w:style w:type="paragraph" w:styleId="1">
    <w:name w:val="Heading 1"/>
    <w:basedOn w:val="LOnormal1"/>
    <w:next w:val="LOnormal1"/>
    <w:qFormat w:val="1"/>
    <w:pPr>
      <w:keepNext w:val="1"/>
      <w:keepLines w:val="1"/>
      <w:spacing w:after="120" w:before="400" w:line="240" w:lineRule="auto"/>
    </w:pPr>
    <w:rPr>
      <w:sz w:val="40"/>
      <w:szCs w:val="40"/>
    </w:rPr>
  </w:style>
  <w:style w:type="paragraph" w:styleId="2">
    <w:name w:val="Heading 2"/>
    <w:basedOn w:val="LOnormal1"/>
    <w:next w:val="LOnormal1"/>
    <w:qFormat w:val="1"/>
    <w:pPr>
      <w:keepNext w:val="1"/>
      <w:keepLines w:val="1"/>
      <w:spacing w:after="120" w:before="360" w:line="240" w:lineRule="auto"/>
    </w:pPr>
    <w:rPr>
      <w:b w:val="0"/>
      <w:sz w:val="32"/>
      <w:szCs w:val="32"/>
    </w:rPr>
  </w:style>
  <w:style w:type="paragraph" w:styleId="3">
    <w:name w:val="Heading 3"/>
    <w:basedOn w:val="LOnormal1"/>
    <w:next w:val="LOnormal1"/>
    <w:qFormat w:val="1"/>
    <w:pPr>
      <w:keepNext w:val="1"/>
      <w:keepLines w:val="1"/>
      <w:spacing w:after="80" w:before="320" w:line="240" w:lineRule="auto"/>
    </w:pPr>
    <w:rPr>
      <w:b w:val="0"/>
      <w:color w:val="434343"/>
      <w:sz w:val="28"/>
      <w:szCs w:val="28"/>
    </w:rPr>
  </w:style>
  <w:style w:type="paragraph" w:styleId="4">
    <w:name w:val="Heading 4"/>
    <w:basedOn w:val="LOnormal1"/>
    <w:next w:val="LOnormal1"/>
    <w:qFormat w:val="1"/>
    <w:pPr>
      <w:keepNext w:val="1"/>
      <w:keepLines w:val="1"/>
      <w:spacing w:after="80" w:before="280" w:line="240" w:lineRule="auto"/>
    </w:pPr>
    <w:rPr>
      <w:color w:val="666666"/>
      <w:sz w:val="24"/>
      <w:szCs w:val="24"/>
    </w:rPr>
  </w:style>
  <w:style w:type="paragraph" w:styleId="5">
    <w:name w:val="Heading 5"/>
    <w:basedOn w:val="LOnormal1"/>
    <w:next w:val="LOnormal1"/>
    <w:qFormat w:val="1"/>
    <w:pPr>
      <w:keepNext w:val="1"/>
      <w:keepLines w:val="1"/>
      <w:spacing w:after="80" w:before="240" w:line="240" w:lineRule="auto"/>
    </w:pPr>
    <w:rPr>
      <w:color w:val="666666"/>
      <w:sz w:val="22"/>
      <w:szCs w:val="22"/>
    </w:rPr>
  </w:style>
  <w:style w:type="paragraph" w:styleId="6">
    <w:name w:val="Heading 6"/>
    <w:basedOn w:val="LOnormal1"/>
    <w:next w:val="LOnormal1"/>
    <w:qFormat w:val="1"/>
    <w:pPr>
      <w:keepNext w:val="1"/>
      <w:keepLines w:val="1"/>
      <w:spacing w:after="80" w:before="240" w:line="240" w:lineRule="auto"/>
    </w:pPr>
    <w:rPr>
      <w:i w:val="1"/>
      <w:color w:val="666666"/>
      <w:sz w:val="22"/>
      <w:szCs w:val="22"/>
    </w:rPr>
  </w:style>
  <w:style w:type="character" w:styleId="DefaultParagraphFont">
    <w:name w:val="Default Paragraph Font"/>
    <w:qFormat w:val="1"/>
    <w:rPr/>
  </w:style>
  <w:style w:type="character" w:styleId="Style8">
    <w:name w:val="Интернет-ссылка"/>
    <w:basedOn w:val="DefaultParagraphFont"/>
    <w:rPr>
      <w:color w:val="0000ff" w:themeColor="hyperlink"/>
      <w:u w:val="single"/>
    </w:rPr>
  </w:style>
  <w:style w:type="character" w:styleId="Style9">
    <w:name w:val="Маркеры списка"/>
    <w:qFormat w:val="1"/>
    <w:rPr>
      <w:rFonts w:ascii="OpenSymbol" w:cs="OpenSymbol" w:eastAsia="OpenSymbol" w:hAnsi="OpenSymbol"/>
    </w:rPr>
  </w:style>
  <w:style w:type="paragraph" w:styleId="Style10">
    <w:name w:val="Заголовок"/>
    <w:basedOn w:val="Normal"/>
    <w:next w:val="Style11"/>
    <w:qFormat w:val="1"/>
    <w:pPr>
      <w:keepNext w:val="1"/>
      <w:spacing w:after="120" w:before="240"/>
    </w:pPr>
    <w:rPr>
      <w:rFonts w:ascii="Liberation Sans" w:cs="Lucida Sans" w:eastAsia="Microsoft YaHei" w:hAnsi="Liberation Sans"/>
      <w:sz w:val="28"/>
      <w:szCs w:val="28"/>
    </w:rPr>
  </w:style>
  <w:style w:type="paragraph" w:styleId="Style11">
    <w:name w:val="Body Text"/>
    <w:basedOn w:val="Normal"/>
    <w:pPr>
      <w:spacing w:after="140" w:before="0" w:line="276" w:lineRule="auto"/>
    </w:pPr>
    <w:rPr/>
  </w:style>
  <w:style w:type="paragraph" w:styleId="Style12">
    <w:name w:val="List"/>
    <w:basedOn w:val="Style11"/>
    <w:pPr/>
    <w:rPr>
      <w:rFonts w:cs="Lucida Sans"/>
    </w:rPr>
  </w:style>
  <w:style w:type="paragraph" w:styleId="Style13">
    <w:name w:val="Caption"/>
    <w:basedOn w:val="Normal"/>
    <w:qFormat w:val="1"/>
    <w:pPr>
      <w:suppressLineNumbers w:val="1"/>
      <w:spacing w:after="120" w:before="120"/>
    </w:pPr>
    <w:rPr>
      <w:rFonts w:cs="Lucida Sans"/>
      <w:i w:val="1"/>
      <w:iCs w:val="1"/>
      <w:sz w:val="24"/>
      <w:szCs w:val="24"/>
    </w:rPr>
  </w:style>
  <w:style w:type="paragraph" w:styleId="Style14">
    <w:name w:val="Указатель"/>
    <w:basedOn w:val="Normal"/>
    <w:qFormat w:val="1"/>
    <w:pPr>
      <w:suppressLineNumbers w:val="1"/>
    </w:pPr>
    <w:rPr>
      <w:rFonts w:cs="Lucida Sans"/>
    </w:rPr>
  </w:style>
  <w:style w:type="paragraph" w:styleId="LOnormal1" w:default="1">
    <w:name w:val="LO-normal1"/>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ru"/>
    </w:rPr>
  </w:style>
  <w:style w:type="paragraph" w:styleId="Style15">
    <w:name w:val="Title"/>
    <w:basedOn w:val="LOnormal1"/>
    <w:next w:val="LOnormal1"/>
    <w:qFormat w:val="1"/>
    <w:pPr>
      <w:keepNext w:val="1"/>
      <w:keepLines w:val="1"/>
      <w:spacing w:after="60" w:before="0" w:line="240" w:lineRule="auto"/>
    </w:pPr>
    <w:rPr>
      <w:sz w:val="52"/>
      <w:szCs w:val="52"/>
    </w:rPr>
  </w:style>
  <w:style w:type="paragraph" w:styleId="Style16">
    <w:name w:val="Subtitle"/>
    <w:basedOn w:val="LOnormal1"/>
    <w:next w:val="LOnormal1"/>
    <w:qFormat w:val="1"/>
    <w:pPr>
      <w:keepNext w:val="1"/>
      <w:keepLines w:val="1"/>
      <w:spacing w:after="320" w:before="0" w:line="240" w:lineRule="auto"/>
    </w:pPr>
    <w:rPr>
      <w:rFonts w:ascii="Arial" w:cs="Arial" w:eastAsia="Arial" w:hAnsi="Arial"/>
      <w:i w:val="0"/>
      <w:color w:val="666666"/>
      <w:sz w:val="30"/>
      <w:szCs w:val="30"/>
    </w:rPr>
  </w:style>
  <w:style w:type="paragraph" w:styleId="Style17">
    <w:name w:val="Верхний и нижний колонтитулы"/>
    <w:basedOn w:val="Normal"/>
    <w:qFormat w:val="1"/>
    <w:pPr/>
    <w:rPr/>
  </w:style>
  <w:style w:type="paragraph" w:styleId="Style18">
    <w:name w:val="Footer"/>
    <w:basedOn w:val="Style17"/>
    <w:pPr/>
    <w:rPr/>
  </w:style>
  <w:style w:type="paragraph" w:styleId="LOnormal">
    <w:name w:val="LO-normal"/>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ru"/>
    </w:rPr>
  </w:style>
  <w:style w:type="paragraph" w:styleId="ListParagraph">
    <w:name w:val="List Paragraph"/>
    <w:basedOn w:val="Normal"/>
    <w:qFormat w:val="1"/>
    <w:pPr>
      <w:spacing w:after="200" w:before="0"/>
      <w:ind w:left="720" w:hanging="0"/>
      <w:contextualSpacing w:val="1"/>
    </w:pPr>
    <w:rPr/>
  </w:style>
  <w:style w:type="paragraph" w:styleId="Style19">
    <w:name w:val="Header"/>
    <w:basedOn w:val="Normal"/>
    <w:pPr>
      <w:tabs>
        <w:tab w:val="clear" w:pos="720"/>
        <w:tab w:val="center" w:leader="none" w:pos="4513"/>
        <w:tab w:val="right" w:leader="none" w:pos="9026"/>
      </w:tabs>
      <w:spacing w:after="0" w:before="0" w:line="240" w:lineRule="auto"/>
    </w:pPr>
    <w:rPr/>
  </w:style>
  <w:style w:type="table" w:styleId="TableNormal" w:default="1">
    <w:name w:val="Table Normal"/>
  </w:style>
  <w:style w:type="paragraph" w:styleId="Subtitle">
    <w:name w:val="Subtitle"/>
    <w:basedOn w:val="Normal"/>
    <w:next w:val="Normal"/>
    <w:pPr>
      <w:keepNext w:val="1"/>
      <w:keepLines w:val="1"/>
      <w:spacing w:after="320" w:before="0" w:line="24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yperlink" Target="https://www.who.int/" TargetMode="External"/><Relationship Id="rId13" Type="http://schemas.openxmlformats.org/officeDocument/2006/relationships/footer" Target="foot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nquiries@phe.gov.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se.gov.uk/" TargetMode="External"/><Relationship Id="rId8" Type="http://schemas.openxmlformats.org/officeDocument/2006/relationships/hyperlink" Target="http://www.gov.uk/government/organisations/public-health-englan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5QovK7g4trMAlT8tCwulOaExvA==">AMUW2mW9U5ZOPFWmtHqZShkmYrw5dhTB2udlvgTt3z9g+1cd7UVyscJQh2RhrLtAVwUWUdkWSNCQG1YGatJYI22a+rqQj5dX1SrmpwI0B9+mPdKKbpoVvLLgNfjuvYGobxm2AGdxwJZrMnZJ7uGfjdrLQgMEY/9c8w==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